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37" w:rsidRPr="0025420F" w:rsidRDefault="007C7F37" w:rsidP="007C7F37">
      <w:pPr>
        <w:pageBreakBefore/>
        <w:numPr>
          <w:ilvl w:val="0"/>
          <w:numId w:val="1"/>
        </w:numPr>
        <w:spacing w:before="240" w:after="240"/>
        <w:jc w:val="center"/>
        <w:outlineLvl w:val="0"/>
        <w:rPr>
          <w:rFonts w:ascii="Titillium" w:hAnsi="Titillium" w:cs="Times New Roman"/>
          <w:b/>
          <w:bCs/>
          <w:i/>
          <w:sz w:val="20"/>
          <w:szCs w:val="20"/>
        </w:rPr>
      </w:pPr>
      <w:r w:rsidRPr="0025420F">
        <w:rPr>
          <w:rFonts w:ascii="Titillium" w:hAnsi="Titillium" w:cs="Times New Roman"/>
          <w:b/>
          <w:bCs/>
          <w:i/>
          <w:sz w:val="20"/>
          <w:szCs w:val="20"/>
        </w:rPr>
        <w:t>Scheda di sintesi sulla rilevazione degli OIV o organismi con funzioni analoghe</w:t>
      </w:r>
    </w:p>
    <w:p w:rsidR="007C7F37" w:rsidRPr="0025420F" w:rsidRDefault="007C7F37" w:rsidP="007C7F37">
      <w:pPr>
        <w:rPr>
          <w:rFonts w:ascii="Titillium" w:hAnsi="Titillium"/>
          <w:sz w:val="20"/>
          <w:szCs w:val="20"/>
        </w:rPr>
      </w:pPr>
    </w:p>
    <w:p w:rsidR="007C7F37" w:rsidRPr="0025420F" w:rsidRDefault="007C7F37" w:rsidP="007C7F37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25420F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7C7F37" w:rsidRDefault="007C7F37" w:rsidP="007C7F37">
      <w:pPr>
        <w:spacing w:after="0"/>
        <w:rPr>
          <w:rFonts w:ascii="Titillium" w:hAnsi="Titillium"/>
          <w:sz w:val="20"/>
          <w:szCs w:val="20"/>
        </w:rPr>
      </w:pPr>
      <w:r w:rsidRPr="0025420F">
        <w:rPr>
          <w:rFonts w:ascii="Titillium" w:hAnsi="Titillium"/>
          <w:sz w:val="20"/>
          <w:szCs w:val="20"/>
        </w:rPr>
        <w:t xml:space="preserve">Indicare la data di svolgimento della rilevazione </w:t>
      </w:r>
    </w:p>
    <w:p w:rsidR="007C7F37" w:rsidRDefault="007C7F37" w:rsidP="007C7F37">
      <w:pPr>
        <w:spacing w:after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18/6/2022</w:t>
      </w:r>
    </w:p>
    <w:p w:rsidR="006C64F8" w:rsidRPr="0025420F" w:rsidRDefault="006C64F8" w:rsidP="007C7F37">
      <w:pPr>
        <w:spacing w:after="0"/>
        <w:rPr>
          <w:rFonts w:ascii="Titillium" w:hAnsi="Titillium"/>
          <w:sz w:val="20"/>
          <w:szCs w:val="20"/>
        </w:rPr>
      </w:pPr>
    </w:p>
    <w:p w:rsidR="006C64F8" w:rsidRDefault="007C7F37" w:rsidP="006C64F8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25420F">
        <w:rPr>
          <w:rFonts w:ascii="Titillium" w:hAnsi="Titillium"/>
          <w:sz w:val="20"/>
          <w:szCs w:val="20"/>
        </w:rPr>
        <w:t xml:space="preserve">Indicare la </w:t>
      </w:r>
      <w:r w:rsidRPr="0025420F">
        <w:rPr>
          <w:rFonts w:ascii="Titillium" w:hAnsi="Titillium"/>
          <w:sz w:val="20"/>
          <w:szCs w:val="20"/>
          <w:u w:val="single"/>
        </w:rPr>
        <w:t>data di inizio e di fine</w:t>
      </w:r>
      <w:r w:rsidRPr="0025420F">
        <w:rPr>
          <w:rFonts w:ascii="Titillium" w:hAnsi="Titillium"/>
          <w:sz w:val="20"/>
          <w:szCs w:val="20"/>
        </w:rPr>
        <w:t xml:space="preserve"> della rilevazione.</w:t>
      </w:r>
      <w:r w:rsidR="006C64F8" w:rsidRPr="006C64F8">
        <w:rPr>
          <w:rFonts w:ascii="Titillium" w:hAnsi="Titillium"/>
          <w:b/>
          <w:i/>
          <w:sz w:val="20"/>
          <w:szCs w:val="20"/>
        </w:rPr>
        <w:t xml:space="preserve"> </w:t>
      </w:r>
    </w:p>
    <w:p w:rsidR="006C64F8" w:rsidRDefault="006C64F8" w:rsidP="006C64F8">
      <w:pPr>
        <w:pStyle w:val="Paragrafoelenco"/>
        <w:spacing w:after="0"/>
        <w:ind w:left="0" w:firstLine="0"/>
        <w:rPr>
          <w:rFonts w:ascii="Titillium" w:hAnsi="Titillium"/>
          <w:sz w:val="20"/>
          <w:szCs w:val="20"/>
        </w:rPr>
      </w:pPr>
      <w:r w:rsidRPr="006C64F8">
        <w:rPr>
          <w:rFonts w:ascii="Titillium" w:hAnsi="Titillium"/>
          <w:sz w:val="20"/>
          <w:szCs w:val="20"/>
        </w:rPr>
        <w:t>17/6/2022</w:t>
      </w:r>
    </w:p>
    <w:p w:rsidR="006C64F8" w:rsidRPr="006C64F8" w:rsidRDefault="006C64F8" w:rsidP="006C64F8">
      <w:pPr>
        <w:pStyle w:val="Paragrafoelenco"/>
        <w:spacing w:after="0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18/6/2022</w:t>
      </w:r>
    </w:p>
    <w:p w:rsidR="006C64F8" w:rsidRPr="006C64F8" w:rsidRDefault="006C64F8" w:rsidP="006C64F8">
      <w:pPr>
        <w:pStyle w:val="Paragrafoelenco"/>
        <w:spacing w:after="0"/>
        <w:ind w:left="0" w:firstLine="0"/>
        <w:rPr>
          <w:rFonts w:ascii="Titillium" w:hAnsi="Titillium"/>
          <w:sz w:val="20"/>
          <w:szCs w:val="20"/>
        </w:rPr>
      </w:pPr>
    </w:p>
    <w:p w:rsidR="006C64F8" w:rsidRDefault="006C64F8" w:rsidP="006C64F8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Estensione della rilevazione (nel solo caso di amministrazioni/enti con uffici periferici)</w:t>
      </w:r>
    </w:p>
    <w:p w:rsidR="006C64F8" w:rsidRPr="006C64F8" w:rsidRDefault="006C64F8" w:rsidP="006C64F8">
      <w:pPr>
        <w:pStyle w:val="Paragrafoelenco"/>
        <w:spacing w:after="0"/>
        <w:ind w:left="0" w:firstLine="0"/>
        <w:rPr>
          <w:rFonts w:ascii="Titillium" w:hAnsi="Titillium"/>
          <w:sz w:val="20"/>
          <w:szCs w:val="20"/>
        </w:rPr>
      </w:pPr>
      <w:r w:rsidRPr="006C64F8">
        <w:rPr>
          <w:rFonts w:ascii="Titillium" w:hAnsi="Titillium"/>
          <w:sz w:val="20"/>
          <w:szCs w:val="20"/>
        </w:rPr>
        <w:t>Non ci sono uffici periferici</w:t>
      </w:r>
    </w:p>
    <w:p w:rsidR="007C7F37" w:rsidRDefault="007C7F37" w:rsidP="007C7F37">
      <w:pPr>
        <w:rPr>
          <w:rFonts w:ascii="Titillium" w:hAnsi="Titillium"/>
          <w:sz w:val="20"/>
          <w:szCs w:val="20"/>
        </w:rPr>
      </w:pPr>
    </w:p>
    <w:p w:rsidR="006C64F8" w:rsidRPr="0041405A" w:rsidRDefault="006C64F8" w:rsidP="006C64F8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6C64F8" w:rsidRPr="006C64F8" w:rsidRDefault="006C64F8" w:rsidP="006C64F8">
      <w:pPr>
        <w:numPr>
          <w:ilvl w:val="0"/>
          <w:numId w:val="2"/>
        </w:numPr>
        <w:tabs>
          <w:tab w:val="left" w:pos="0"/>
        </w:tabs>
        <w:autoSpaceDE w:val="0"/>
        <w:spacing w:after="0" w:line="360" w:lineRule="auto"/>
        <w:rPr>
          <w:rFonts w:ascii="Titillium" w:eastAsia="Times New Roman" w:hAnsi="Titillium" w:cs="Times New Roman"/>
          <w:color w:val="000000"/>
          <w:sz w:val="20"/>
          <w:szCs w:val="20"/>
        </w:rPr>
      </w:pPr>
      <w:r w:rsidRPr="006C64F8">
        <w:rPr>
          <w:rFonts w:ascii="Titillium" w:eastAsia="Times New Roman" w:hAnsi="Titillium" w:cs="Times New Roman"/>
          <w:color w:val="000000"/>
          <w:sz w:val="20"/>
          <w:szCs w:val="20"/>
        </w:rPr>
        <w:t>esame della documentazione e delle banche dati relative ai dati oggetto di attestazione;</w:t>
      </w:r>
    </w:p>
    <w:p w:rsidR="006C64F8" w:rsidRDefault="006C64F8" w:rsidP="006C64F8">
      <w:pPr>
        <w:pStyle w:val="Paragrafoelenco"/>
        <w:numPr>
          <w:ilvl w:val="0"/>
          <w:numId w:val="2"/>
        </w:numPr>
        <w:rPr>
          <w:rFonts w:ascii="Titillium" w:hAnsi="Titillium"/>
          <w:sz w:val="20"/>
          <w:szCs w:val="20"/>
        </w:rPr>
      </w:pPr>
      <w:r w:rsidRPr="006C64F8">
        <w:rPr>
          <w:rFonts w:ascii="Titillium" w:hAnsi="Titillium"/>
          <w:sz w:val="20"/>
          <w:szCs w:val="20"/>
        </w:rPr>
        <w:t>verifica diretta sul sito istituzionale, anche attraverso l’utilizzo di supporti informatici</w:t>
      </w:r>
      <w:r>
        <w:rPr>
          <w:rFonts w:ascii="Titillium" w:hAnsi="Titillium"/>
          <w:sz w:val="20"/>
          <w:szCs w:val="20"/>
        </w:rPr>
        <w:t>;</w:t>
      </w:r>
    </w:p>
    <w:p w:rsidR="006C64F8" w:rsidRDefault="006C64F8" w:rsidP="006C64F8">
      <w:pPr>
        <w:pStyle w:val="Paragrafoelenco"/>
        <w:numPr>
          <w:ilvl w:val="0"/>
          <w:numId w:val="2"/>
        </w:numPr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verifica di accessibilità tramite supporti </w:t>
      </w:r>
      <w:proofErr w:type="spellStart"/>
      <w:r>
        <w:rPr>
          <w:rFonts w:ascii="Titillium" w:hAnsi="Titillium"/>
          <w:sz w:val="20"/>
          <w:szCs w:val="20"/>
        </w:rPr>
        <w:t>Android</w:t>
      </w:r>
      <w:proofErr w:type="spellEnd"/>
      <w:r>
        <w:rPr>
          <w:rFonts w:ascii="Titillium" w:hAnsi="Titillium"/>
          <w:sz w:val="20"/>
          <w:szCs w:val="20"/>
        </w:rPr>
        <w:t xml:space="preserve"> e </w:t>
      </w:r>
      <w:proofErr w:type="spellStart"/>
      <w:r>
        <w:rPr>
          <w:rFonts w:ascii="Titillium" w:hAnsi="Titillium"/>
          <w:sz w:val="20"/>
          <w:szCs w:val="20"/>
        </w:rPr>
        <w:t>IoS</w:t>
      </w:r>
      <w:proofErr w:type="spellEnd"/>
      <w:r>
        <w:rPr>
          <w:rFonts w:ascii="Titillium" w:hAnsi="Titillium"/>
          <w:sz w:val="20"/>
          <w:szCs w:val="20"/>
        </w:rPr>
        <w:t>;</w:t>
      </w:r>
    </w:p>
    <w:p w:rsidR="006C64F8" w:rsidRDefault="006C64F8" w:rsidP="006C64F8">
      <w:pPr>
        <w:pStyle w:val="Paragrafoelenco"/>
        <w:numPr>
          <w:ilvl w:val="0"/>
          <w:numId w:val="2"/>
        </w:numPr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verifica di accessibilità</w:t>
      </w:r>
      <w:r>
        <w:rPr>
          <w:rFonts w:ascii="Titillium" w:hAnsi="Titillium"/>
          <w:sz w:val="20"/>
          <w:szCs w:val="20"/>
        </w:rPr>
        <w:t xml:space="preserve"> attraverso browser di navigazione.</w:t>
      </w:r>
    </w:p>
    <w:p w:rsidR="006C64F8" w:rsidRDefault="006C64F8" w:rsidP="006C64F8">
      <w:pPr>
        <w:pStyle w:val="Paragrafoelenco"/>
        <w:ind w:left="720" w:firstLine="0"/>
        <w:rPr>
          <w:rFonts w:ascii="Titillium" w:hAnsi="Titillium"/>
          <w:sz w:val="20"/>
          <w:szCs w:val="20"/>
        </w:rPr>
      </w:pPr>
    </w:p>
    <w:p w:rsidR="006C64F8" w:rsidRPr="0041405A" w:rsidRDefault="006C64F8" w:rsidP="006C64F8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6C64F8" w:rsidRDefault="006C64F8" w:rsidP="006C64F8">
      <w:pPr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La sezione Amministrazion</w:t>
      </w:r>
      <w:r>
        <w:rPr>
          <w:rFonts w:ascii="Titillium" w:hAnsi="Titillium"/>
          <w:sz w:val="20"/>
          <w:szCs w:val="20"/>
        </w:rPr>
        <w:t>e trasparente risulta parzialmente completa</w:t>
      </w:r>
      <w:r>
        <w:rPr>
          <w:rFonts w:ascii="Titillium" w:hAnsi="Titillium"/>
          <w:sz w:val="20"/>
          <w:szCs w:val="20"/>
        </w:rPr>
        <w:t xml:space="preserve"> anche a causa di un recen</w:t>
      </w:r>
      <w:r>
        <w:rPr>
          <w:rFonts w:ascii="Titillium" w:hAnsi="Titillium"/>
          <w:sz w:val="20"/>
          <w:szCs w:val="20"/>
        </w:rPr>
        <w:t>te disservizio / attacco hacker</w:t>
      </w:r>
      <w:r>
        <w:rPr>
          <w:rFonts w:ascii="Titillium" w:hAnsi="Titillium"/>
          <w:sz w:val="20"/>
          <w:szCs w:val="20"/>
        </w:rPr>
        <w:t>, regolarmente denunciato alle autorità competenti, che ha comportato la perdita totale di tutti i dati inseriti nel corso degli anni. L’inserimento ex novo  a causa del ridottissimo numero di personale</w:t>
      </w:r>
      <w:r>
        <w:rPr>
          <w:rFonts w:ascii="Titillium" w:hAnsi="Titillium"/>
          <w:sz w:val="20"/>
          <w:szCs w:val="20"/>
        </w:rPr>
        <w:t xml:space="preserve"> e dell’emergenza dovuta alla pandemia </w:t>
      </w:r>
      <w:proofErr w:type="spellStart"/>
      <w:r>
        <w:rPr>
          <w:rFonts w:ascii="Titillium" w:hAnsi="Titillium"/>
          <w:sz w:val="20"/>
          <w:szCs w:val="20"/>
        </w:rPr>
        <w:t>Covid</w:t>
      </w:r>
      <w:proofErr w:type="spellEnd"/>
      <w:r>
        <w:rPr>
          <w:rFonts w:ascii="Titillium" w:hAnsi="Titillium"/>
          <w:sz w:val="20"/>
          <w:szCs w:val="20"/>
        </w:rPr>
        <w:t xml:space="preserve"> 19 </w:t>
      </w:r>
      <w:r>
        <w:rPr>
          <w:rFonts w:ascii="Titillium" w:hAnsi="Titillium"/>
          <w:sz w:val="20"/>
          <w:szCs w:val="20"/>
        </w:rPr>
        <w:t xml:space="preserve"> non è ancora </w:t>
      </w:r>
      <w:proofErr w:type="spellStart"/>
      <w:r>
        <w:rPr>
          <w:rFonts w:ascii="Titillium" w:hAnsi="Titillium"/>
          <w:sz w:val="20"/>
          <w:szCs w:val="20"/>
        </w:rPr>
        <w:t>competato</w:t>
      </w:r>
      <w:proofErr w:type="spellEnd"/>
      <w:r>
        <w:rPr>
          <w:rFonts w:ascii="Titillium" w:hAnsi="Titillium"/>
          <w:sz w:val="20"/>
          <w:szCs w:val="20"/>
        </w:rPr>
        <w:t>.</w:t>
      </w:r>
    </w:p>
    <w:p w:rsidR="006C64F8" w:rsidRDefault="006C64F8" w:rsidP="006C64F8">
      <w:pPr>
        <w:rPr>
          <w:rFonts w:ascii="Titillium" w:hAnsi="Titillium"/>
          <w:sz w:val="20"/>
          <w:szCs w:val="20"/>
        </w:rPr>
      </w:pPr>
    </w:p>
    <w:p w:rsidR="006C64F8" w:rsidRDefault="006C64F8" w:rsidP="006C64F8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6C64F8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FA08D6" w:rsidRPr="006C64F8" w:rsidRDefault="00FA08D6" w:rsidP="006C64F8">
      <w:pPr>
        <w:spacing w:line="360" w:lineRule="auto"/>
        <w:rPr>
          <w:rFonts w:ascii="Titillium" w:hAnsi="Titillium"/>
          <w:sz w:val="20"/>
          <w:szCs w:val="20"/>
        </w:rPr>
      </w:pPr>
      <w:r w:rsidRPr="00FA08D6">
        <w:rPr>
          <w:rFonts w:ascii="Titillium" w:hAnsi="Titillium"/>
          <w:sz w:val="20"/>
          <w:szCs w:val="20"/>
        </w:rPr>
        <w:t>nessuna</w:t>
      </w:r>
    </w:p>
    <w:p w:rsidR="00221CC7" w:rsidRDefault="00FA08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08D6" w:rsidRDefault="00FA08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dott.ssa Carla Frulla</w:t>
      </w:r>
      <w:bookmarkStart w:id="0" w:name="_GoBack"/>
      <w:bookmarkEnd w:id="0"/>
    </w:p>
    <w:sectPr w:rsidR="00FA0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37"/>
    <w:rsid w:val="00221CC7"/>
    <w:rsid w:val="006C64F8"/>
    <w:rsid w:val="007C7F37"/>
    <w:rsid w:val="00FA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C64F8"/>
    <w:pPr>
      <w:keepNext/>
      <w:widowControl w:val="0"/>
      <w:suppressAutoHyphens/>
      <w:spacing w:after="120" w:line="100" w:lineRule="atLeast"/>
      <w:jc w:val="both"/>
    </w:pPr>
    <w:rPr>
      <w:rFonts w:ascii="Times New Roman" w:eastAsiaTheme="minorEastAsia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uiPriority w:val="10"/>
    <w:rsid w:val="007C7F37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7C7F37"/>
    <w:rPr>
      <w:rFonts w:ascii="Times New Roman" w:eastAsiaTheme="minorEastAsia" w:hAnsi="Times New Roman" w:cs="Times New Roman"/>
      <w:b/>
      <w:bCs/>
      <w:i/>
      <w:sz w:val="36"/>
      <w:szCs w:val="32"/>
      <w:lang w:eastAsia="ar-SA"/>
    </w:rPr>
  </w:style>
  <w:style w:type="paragraph" w:styleId="Paragrafoelenco">
    <w:name w:val="List Paragraph"/>
    <w:basedOn w:val="Normale"/>
    <w:rsid w:val="006C64F8"/>
    <w:pPr>
      <w:ind w:left="357" w:hanging="357"/>
    </w:pPr>
  </w:style>
  <w:style w:type="paragraph" w:customStyle="1" w:styleId="Default">
    <w:name w:val="Default"/>
    <w:rsid w:val="006C64F8"/>
    <w:pPr>
      <w:keepNext/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C64F8"/>
    <w:pPr>
      <w:keepNext/>
      <w:widowControl w:val="0"/>
      <w:suppressAutoHyphens/>
      <w:spacing w:after="120" w:line="100" w:lineRule="atLeast"/>
      <w:jc w:val="both"/>
    </w:pPr>
    <w:rPr>
      <w:rFonts w:ascii="Times New Roman" w:eastAsiaTheme="minorEastAsia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uiPriority w:val="10"/>
    <w:rsid w:val="007C7F37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7C7F37"/>
    <w:rPr>
      <w:rFonts w:ascii="Times New Roman" w:eastAsiaTheme="minorEastAsia" w:hAnsi="Times New Roman" w:cs="Times New Roman"/>
      <w:b/>
      <w:bCs/>
      <w:i/>
      <w:sz w:val="36"/>
      <w:szCs w:val="32"/>
      <w:lang w:eastAsia="ar-SA"/>
    </w:rPr>
  </w:style>
  <w:style w:type="paragraph" w:styleId="Paragrafoelenco">
    <w:name w:val="List Paragraph"/>
    <w:basedOn w:val="Normale"/>
    <w:rsid w:val="006C64F8"/>
    <w:pPr>
      <w:ind w:left="357" w:hanging="357"/>
    </w:pPr>
  </w:style>
  <w:style w:type="paragraph" w:customStyle="1" w:styleId="Default">
    <w:name w:val="Default"/>
    <w:rsid w:val="006C64F8"/>
    <w:pPr>
      <w:keepNext/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Frulla Carla</dc:creator>
  <cp:lastModifiedBy>Frulla Carla</cp:lastModifiedBy>
  <cp:revision>1</cp:revision>
  <dcterms:created xsi:type="dcterms:W3CDTF">2022-06-23T13:40:00Z</dcterms:created>
  <dcterms:modified xsi:type="dcterms:W3CDTF">2022-06-23T14:02:00Z</dcterms:modified>
</cp:coreProperties>
</file>